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FA" w:rsidRPr="00DC16FC" w:rsidRDefault="008F25FA" w:rsidP="001C6C40">
      <w:pPr>
        <w:shd w:val="clear" w:color="auto" w:fill="FFFFFF"/>
        <w:spacing w:after="120" w:line="240" w:lineRule="auto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F25FA" w:rsidRPr="001C6C40" w:rsidRDefault="008F25FA" w:rsidP="001C6C40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Приложение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 решению Совета депутатов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Озерненского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от 09 декабря 2008 года № 44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 с изм., внесенными Решением от 27.01. </w:t>
      </w:r>
      <w:smartTag w:uri="urn:schemas-microsoft-com:office:smarttags" w:element="metricconverter">
        <w:smartTagPr>
          <w:attr w:name="ProductID" w:val="2009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53;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внесенными Решением от 23.03. </w:t>
      </w:r>
      <w:smartTag w:uri="urn:schemas-microsoft-com:office:smarttags" w:element="metricconverter">
        <w:smartTagPr>
          <w:attr w:name="ProductID" w:val="2009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68;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с изм., внесенными Решением от 07.10.2009 г. №80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с изм., внесенными Решением от 08.11.2010 г. №10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внесенными Решением от 7 июля </w:t>
      </w:r>
      <w:smartTag w:uri="urn:schemas-microsoft-com:office:smarttags" w:element="metricconverter">
        <w:smartTagPr>
          <w:attr w:name="ProductID" w:val="2011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32,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внесёнными Решением от 24 ноября </w:t>
      </w:r>
      <w:smartTag w:uri="urn:schemas-microsoft-com:office:smarttags" w:element="metricconverter">
        <w:smartTagPr>
          <w:attr w:name="ProductID" w:val="2011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67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внесёнными Решением от 15 февраля </w:t>
      </w:r>
      <w:smartTag w:uri="urn:schemas-microsoft-com:office:smarttags" w:element="metricconverter">
        <w:smartTagPr>
          <w:attr w:name="ProductID" w:val="2012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05,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внесёнными Решением от 15 апреля </w:t>
      </w:r>
      <w:smartTag w:uri="urn:schemas-microsoft-com:office:smarttags" w:element="metricconverter">
        <w:smartTagPr>
          <w:attr w:name="ProductID" w:val="2013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10,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внесёнными Решением от 22 октября </w:t>
      </w:r>
      <w:smartTag w:uri="urn:schemas-microsoft-com:office:smarttags" w:element="metricconverter">
        <w:smartTagPr>
          <w:attr w:name="ProductID" w:val="2013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2013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48,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внесёнными Решением от 15 октября </w:t>
      </w:r>
      <w:smartTag w:uri="urn:schemas-microsoft-com:office:smarttags" w:element="metricconverter">
        <w:smartTagPr>
          <w:attr w:name="ProductID" w:val="2014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42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изм., внесёнными Решением от 24 февраля </w:t>
      </w:r>
      <w:smartTag w:uri="urn:schemas-microsoft-com:office:smarttags" w:element="metricconverter">
        <w:smartTagPr>
          <w:attr w:name="ProductID" w:val="2016 г"/>
        </w:smartTagPr>
        <w:r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06,</w:t>
      </w:r>
    </w:p>
    <w:p w:rsidR="005730A0" w:rsidRDefault="005730A0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.,</w:t>
      </w:r>
      <w:r w:rsidR="008F25FA"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внесёнными Решением от 20 октября </w:t>
      </w:r>
      <w:smartTag w:uri="urn:schemas-microsoft-com:office:smarttags" w:element="metricconverter">
        <w:smartTagPr>
          <w:attr w:name="ProductID" w:val="2016 г"/>
        </w:smartTagPr>
        <w:r w:rsidR="008F25FA" w:rsidRPr="000C27F4">
          <w:rPr>
            <w:rFonts w:ascii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="008F25FA"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№ 42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FC0039" w:rsidRDefault="005730A0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.,внесёнными Решением от 14 июля 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2017 г. № 20</w:t>
      </w:r>
      <w:r w:rsidR="00FC0039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BE2621" w:rsidRDefault="00FC0039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несёнными Решением от 11 сентября 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2017 г. № 24</w:t>
      </w:r>
    </w:p>
    <w:p w:rsidR="00BE2621" w:rsidRDefault="00BE2621" w:rsidP="00BE262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изм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,в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несё</w:t>
      </w:r>
      <w:r w:rsidR="007F1CC1">
        <w:rPr>
          <w:rFonts w:ascii="Times New Roman" w:hAnsi="Times New Roman"/>
          <w:color w:val="000000"/>
          <w:sz w:val="28"/>
          <w:szCs w:val="28"/>
          <w:lang w:eastAsia="ru-RU"/>
        </w:rPr>
        <w:t>нными Решением от  27 марта 2018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№ 14)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25FA" w:rsidRPr="000C27F4" w:rsidRDefault="008F25FA" w:rsidP="00010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F25FA" w:rsidRDefault="008F25FA" w:rsidP="00010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земельном налоге на территории </w:t>
      </w:r>
      <w:proofErr w:type="spellStart"/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Озерненского</w:t>
      </w:r>
      <w:proofErr w:type="spellEnd"/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городского поселения</w:t>
      </w:r>
    </w:p>
    <w:p w:rsidR="001D15B9" w:rsidRPr="000C27F4" w:rsidRDefault="001D15B9" w:rsidP="00010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0107BD">
      <w:pPr>
        <w:shd w:val="clear" w:color="auto" w:fill="FFFFFF"/>
        <w:spacing w:after="0" w:line="240" w:lineRule="auto"/>
        <w:ind w:left="50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1. Общие положения</w:t>
      </w:r>
    </w:p>
    <w:p w:rsidR="001D15B9" w:rsidRPr="000C27F4" w:rsidRDefault="001D15B9" w:rsidP="000107BD">
      <w:pPr>
        <w:shd w:val="clear" w:color="auto" w:fill="FFFFFF"/>
        <w:spacing w:after="0" w:line="240" w:lineRule="auto"/>
        <w:ind w:left="50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Озёрненского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Духовщинского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1D15B9" w:rsidRPr="000C27F4" w:rsidRDefault="001D15B9" w:rsidP="001D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2. Налогоплательщики</w:t>
      </w:r>
    </w:p>
    <w:p w:rsidR="001D15B9" w:rsidRPr="000C27F4" w:rsidRDefault="001D15B9" w:rsidP="001D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 и статьей 3 настоящего Положения, на праве собственности, праве постоянного (бессрочного) пользования или праве пожизненно наследуемого владения.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2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D15B9" w:rsidRDefault="001D15B9" w:rsidP="000C27F4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15B9" w:rsidRDefault="001D15B9" w:rsidP="000C27F4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15B9" w:rsidRDefault="001D15B9" w:rsidP="000C27F4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15B9" w:rsidRDefault="001D15B9" w:rsidP="000C27F4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D15B9" w:rsidRDefault="001D15B9" w:rsidP="000C27F4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3. Объект налогообложения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5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1.Объектом налогообложения признаются земельные участки, расположенные в пределах территории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Озёрненского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Духовщинского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1.1.Земельные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Не признаются объектом налогообложения: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3) земельные участки из состава земель лесного фонда;</w:t>
      </w: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1D15B9" w:rsidRPr="000C27F4" w:rsidRDefault="001D15B9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49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4. Налоговая база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49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D15B9" w:rsidRPr="000C27F4" w:rsidRDefault="001D15B9" w:rsidP="001D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514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5. Порядок определения налоговой базы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51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F25FA" w:rsidRPr="000C27F4" w:rsidRDefault="004767CD" w:rsidP="000C27F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8F25FA" w:rsidRPr="000C27F4">
        <w:rPr>
          <w:rFonts w:ascii="Times New Roman" w:hAnsi="Times New Roman"/>
          <w:color w:val="000000"/>
          <w:sz w:val="28"/>
          <w:szCs w:val="28"/>
          <w:lang w:eastAsia="ru-RU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Налоговая база определяется отдельно в отношении долей в праве обшей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3. Налогоплательщики - 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4767CD" w:rsidRDefault="008F25FA" w:rsidP="004767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gram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иное не предусмотрено пунктом 3 настоящей статьи, для налогоплательщиков - физических лиц, налоговая база определяется налоговыми органами на основании сведений, которые представляются в налоговые органы органами, осуществляющими кадастровый учет, ведение государственного кадастра недвижимости и государственную регистрацию прав на недвижимое имущество и сделок с ним, Администрацией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Озёрненского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Духовщинского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  <w:proofErr w:type="gramEnd"/>
    </w:p>
    <w:p w:rsidR="004767CD" w:rsidRPr="004767CD" w:rsidRDefault="004767CD" w:rsidP="004767C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2) инвалидов I и II групп инвалидности;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3) инвалидов с детства;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4) ветеранов и инвалидов Великой Отечественной войны, а также ветеранов и инвалидов боевых действий;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Теча</w:t>
      </w:r>
      <w:proofErr w:type="spellEnd"/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767CD" w:rsidRPr="004767CD" w:rsidRDefault="004767CD" w:rsidP="004767CD">
      <w:pPr>
        <w:autoSpaceDE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4767CD" w:rsidRPr="004767CD" w:rsidRDefault="008F25FA" w:rsidP="004767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27F4">
        <w:rPr>
          <w:color w:val="000000"/>
          <w:sz w:val="28"/>
          <w:szCs w:val="28"/>
        </w:rPr>
        <w:lastRenderedPageBreak/>
        <w:t xml:space="preserve">6. </w:t>
      </w:r>
      <w:r w:rsidR="004767CD" w:rsidRPr="004767CD">
        <w:rPr>
          <w:sz w:val="28"/>
          <w:szCs w:val="28"/>
        </w:rPr>
        <w:t>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767CD" w:rsidRPr="004767CD" w:rsidRDefault="004767CD" w:rsidP="004767CD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F25FA" w:rsidRPr="00BE2621" w:rsidRDefault="004767CD" w:rsidP="00BE262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67CD">
        <w:rPr>
          <w:rFonts w:ascii="Times New Roman" w:eastAsia="Times New Roman" w:hAnsi="Times New Roman"/>
          <w:sz w:val="28"/>
          <w:szCs w:val="28"/>
          <w:lang w:eastAsia="ru-RU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E2621" w:rsidRPr="002E4635" w:rsidRDefault="008F25FA" w:rsidP="00BE262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27F4">
        <w:rPr>
          <w:color w:val="000000"/>
          <w:sz w:val="28"/>
          <w:szCs w:val="28"/>
        </w:rPr>
        <w:t xml:space="preserve">7. </w:t>
      </w:r>
      <w:r w:rsidR="00BE2621" w:rsidRPr="003747BC">
        <w:rPr>
          <w:sz w:val="28"/>
          <w:szCs w:val="28"/>
        </w:rPr>
        <w:t>В случае</w:t>
      </w:r>
      <w:proofErr w:type="gramStart"/>
      <w:r w:rsidR="00BE2621" w:rsidRPr="003747BC">
        <w:rPr>
          <w:sz w:val="28"/>
          <w:szCs w:val="28"/>
        </w:rPr>
        <w:t>,</w:t>
      </w:r>
      <w:proofErr w:type="gramEnd"/>
      <w:r w:rsidR="00BE2621" w:rsidRPr="003747BC">
        <w:rPr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8F25FA" w:rsidRDefault="008F25FA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5B9" w:rsidRPr="000C27F4" w:rsidRDefault="001D15B9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налоговой базы.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Уменьшение налоговой базы на не облагаемую налогом сумму, установленную пунктом 5 статьи 5 настоящего Положения, производится на основании документов, подтверждающих право на уменьшение налоговой базы, представляемых налогоплательщиками в налоговый орган по месту нахождения земельного участка в срок до 1 февраля года, следующего за истекшим налоговым периодом.</w:t>
      </w:r>
    </w:p>
    <w:p w:rsidR="001D15B9" w:rsidRDefault="001D15B9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D15B9" w:rsidRPr="000C27F4" w:rsidRDefault="001D15B9" w:rsidP="001D15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1D15B9" w:rsidRPr="000C27F4" w:rsidRDefault="001D15B9" w:rsidP="001D15B9">
      <w:pPr>
        <w:shd w:val="clear" w:color="auto" w:fill="FFFFFF"/>
        <w:spacing w:after="0" w:line="240" w:lineRule="auto"/>
        <w:ind w:left="1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3. 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</w:p>
    <w:p w:rsidR="008F25FA" w:rsidRDefault="008F25FA" w:rsidP="000C27F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53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8. Налоговый период. Отчетный период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53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 Налоговым периодом признается календарный год.</w:t>
      </w: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Отчетным периодом для налогоплательщиков - организаций, признаются первый квартал, второй квартал и третий квартал календарного года.</w:t>
      </w:r>
    </w:p>
    <w:p w:rsidR="001D15B9" w:rsidRPr="000C27F4" w:rsidRDefault="001D15B9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9. Налоговая ставка</w:t>
      </w:r>
    </w:p>
    <w:p w:rsidR="001D15B9" w:rsidRPr="000C27F4" w:rsidRDefault="001D15B9" w:rsidP="001D15B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FF37AA" w:rsidP="00FF37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F25FA" w:rsidRPr="000C27F4">
        <w:rPr>
          <w:rFonts w:ascii="Times New Roman" w:hAnsi="Times New Roman"/>
          <w:color w:val="000000"/>
          <w:sz w:val="28"/>
          <w:szCs w:val="28"/>
          <w:lang w:eastAsia="ru-RU"/>
        </w:rPr>
        <w:t>Налоговые ставки устанавливаются в следующих размерах: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- 0,3 %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земельных участков, предоставленных для садоводства, огородничества; находящихся в составе дачных, садоводческих и огороднических объединений;</w:t>
      </w:r>
    </w:p>
    <w:p w:rsidR="008F25FA" w:rsidRPr="000C27F4" w:rsidRDefault="00FF37A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="008F25FA"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1,5 %</w:t>
      </w:r>
      <w:r w:rsidR="008F25FA"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участков, предоставленных для размещения объектов торговли, общественного питания, бытового обслуживания, гостиниц;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- 0,3 %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земельных участков, предоставленных для размещения домов индивидуальной жилой застройки;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- 0,7 %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земельных участков, предоставленных для размещения гаражей и автостоянок;</w:t>
      </w: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- 0,3 %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земельных участков, предназначенных для с/х использования;</w:t>
      </w:r>
    </w:p>
    <w:p w:rsidR="00E369B6" w:rsidRPr="000C27F4" w:rsidRDefault="00E369B6" w:rsidP="001D15B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7AA">
        <w:rPr>
          <w:b/>
          <w:color w:val="000000"/>
          <w:sz w:val="28"/>
          <w:szCs w:val="28"/>
        </w:rPr>
        <w:t xml:space="preserve"> -</w:t>
      </w:r>
      <w:r w:rsidRPr="00467304">
        <w:rPr>
          <w:color w:val="000000"/>
          <w:sz w:val="28"/>
          <w:szCs w:val="28"/>
        </w:rPr>
        <w:t xml:space="preserve"> </w:t>
      </w:r>
      <w:r w:rsidRPr="001D15B9">
        <w:rPr>
          <w:b/>
          <w:color w:val="000000"/>
          <w:sz w:val="28"/>
          <w:szCs w:val="28"/>
        </w:rPr>
        <w:t>0,3%</w:t>
      </w:r>
      <w:r w:rsidRPr="00467304">
        <w:rPr>
          <w:color w:val="000000"/>
          <w:sz w:val="28"/>
          <w:szCs w:val="28"/>
        </w:rPr>
        <w:t xml:space="preserve"> </w:t>
      </w:r>
      <w:r w:rsidRPr="00467304">
        <w:rPr>
          <w:sz w:val="28"/>
          <w:szCs w:val="28"/>
        </w:rPr>
        <w:t>от кадастровой стоимости участка – в отношении земельных участков, занятых жилищным фондом и объектами инженерной инфраструктуры жилищно-коммунального комплекса  или приобретенных (предоставленных) для жилищного  строительства</w:t>
      </w:r>
      <w:r w:rsidR="001A6DEA">
        <w:rPr>
          <w:color w:val="000000"/>
          <w:sz w:val="28"/>
          <w:szCs w:val="28"/>
        </w:rPr>
        <w:t>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- 1,5 %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- 1,5 %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- 1,5%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от кадастровой стоимости участка – в отношении прочих земельных участков, в том числе земельных участков, не входящих в состав земель населенных пунктов.</w:t>
      </w: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 </w:t>
      </w: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0,44 % 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кадастровой стоимости – в отношении земельных участков, входящих в состав земель населённых пунктов, и предназначенных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радиолинейных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      </w:t>
      </w:r>
    </w:p>
    <w:p w:rsidR="001D15B9" w:rsidRPr="000C27F4" w:rsidRDefault="001D15B9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10. Налоговые льготы</w:t>
      </w:r>
    </w:p>
    <w:p w:rsidR="001D15B9" w:rsidRPr="000C27F4" w:rsidRDefault="001D15B9" w:rsidP="001D15B9">
      <w:pPr>
        <w:shd w:val="clear" w:color="auto" w:fill="FFFFFF"/>
        <w:spacing w:after="0" w:line="240" w:lineRule="auto"/>
        <w:ind w:left="533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ind w:left="6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Освобождаются от налогообложения: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1) организации и учреждения  уголовно - исполнительной системы Министерства юстиции Российской  Федерации -  в отношении земельных участков, предоставленных для  непосредственного  выполнения возложенных на эти организации и учреждения функций;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2) организации в отношении земельных участков, занятых государственными автомобильными дорогами общего пользования;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3) религиозные организации – в отношении принадлежащих им земельных участков, на которых расположены здания,  строения и сооружения религиозного и благотворительного  назначения;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4)   общероссийские общественные организации инвалидов (в том числе созданные как союзы общественных 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организации, уставной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  а их доля в фонде оплаты труда - не менее 25 процентов,  – в отношении земельных участков, используемых ими 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учреждения, единственными собственниками имущества которых,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зашиты и реабилитации инвалидов, а также для оказания правовой и иной помощи инвалидам, детям-инвалидам и их родителям;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5)  организации народных художественных промыслов - в отношении земельных участков, находящихся в местах традиционного бытования народных 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художественных промыслов и используемых для производства и реализации изделий народных художественных промыслов;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6)  органы местного самоуправления;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7) бюджетные учреждения, муниципальные предприятия полностью или частично финансируемые за счет средств областных и местных бюджетов;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8)    ветераны и инвалиды Великой Отечественной войны;</w:t>
      </w: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9)    многодетные семьи;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10) 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области;</w:t>
      </w:r>
    </w:p>
    <w:p w:rsidR="00DF14EB" w:rsidRPr="001D15B9" w:rsidRDefault="008F25FA" w:rsidP="001D15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Предоставить льготу в размере 30% от суммы налога в отношении одного земельного участка гражданам, достигшим пенсионного возраста.</w:t>
      </w:r>
    </w:p>
    <w:p w:rsidR="00DF14EB" w:rsidRDefault="00DF14EB" w:rsidP="000C27F4">
      <w:pPr>
        <w:shd w:val="clear" w:color="auto" w:fill="FFFFFF"/>
        <w:spacing w:after="0" w:line="240" w:lineRule="auto"/>
        <w:ind w:left="53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F25FA" w:rsidRDefault="008F25FA" w:rsidP="000C27F4">
      <w:pPr>
        <w:shd w:val="clear" w:color="auto" w:fill="FFFFFF"/>
        <w:spacing w:after="0" w:line="240" w:lineRule="auto"/>
        <w:ind w:left="53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11. Порядок исчисления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налога и авансовых платежей по налогу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53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 Сумма    налога    исчисляется    по   истечении    налогового   периода    как соответствующая налоговой  ставке процентная доля налоговой базы, если иное  не предусмотрено пунктами  10 и 11 настоящей статьи.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Налогоплательщики - организации исчисляют сумму налога (сумму авансовых платежей по налогу) самостоятельно.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3. Если иное не предусмотрено пунктом 2 настоящей статьи, сумма налога,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br/>
        <w:t>подлежащая уплате в бюджет налогоплательщиками, являющимися      физическими      лицами,      исчисляется  налоговыми органами.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4.     Утратил силу.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5.   Сумма налога, подлежащая уплате в бюджет по итогам налогового периода, определяется налогоплательщиками, являющимися организациями,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6. Налогоплательщики, в отношении которых отчетный период определен как квартал, исчисляют суммы авансовых платежей  по налогу по истечении первого, второго и третьего квартала текущего налогового периода как одну четвёртую  соответствующей налоговой ставки процентной доли кадастровой стоимости земельного участка по состоянию на 01 января года, являющегося налоговым периодом.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 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8. В отношении земельного участка (его доли), перешедшего (перешедшей) по наследству к физическому лицу, налог исчисляется начиная с месяца открытия наследства.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9. 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 соответствии со статьей 3 настоящего Положения.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(отчётном) периоде. При этом месяц возникновения права на налоговую льготу, а также месяц прекращения указанного права принимается за полный  месяц.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10. 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порядке, определённом уполномоченным Правительством Российской Федерации федеральным органом исполнительной власти.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11.В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предпринимателями, с учетом коэффициента 2 в течение трехлетнего срока строительства, начиная с даты государственной регистрации прав на данные земельные участки,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 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 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В   отношении    земельных    участков,     приобретенных (предоставленных)    в собственность физическими и юридическими лицами на условиях осуществления на них </w:t>
      </w:r>
      <w:r w:rsidR="00257B65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" cy="43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государственной регистрации прав на построенный объект недвижимости.</w:t>
      </w:r>
    </w:p>
    <w:p w:rsidR="008F25FA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12. 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</w:t>
      </w: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даты 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1D15B9" w:rsidRPr="000C27F4" w:rsidRDefault="001D15B9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562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12. Порядок и сроки уплаты налога и авансовых платежей по   налогу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56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 Налогоплательщики, являющиеся физическими лицами, уплачивают налог на основании налогового уведомления, направленного налоговым органом. 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уведомления.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Срок уплаты земельного налога для налогоплательщиков - физических лиц, не являющихся индивидуальными предпринимателями -  не позднее 1 декабря  года, следующего за истекшим налоговым периодом.</w:t>
      </w:r>
    </w:p>
    <w:p w:rsidR="008F25FA" w:rsidRPr="000C27F4" w:rsidRDefault="008F25FA" w:rsidP="000C27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2.Уплата налога для налогоплательщиков - организаций, производится авансовыми 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итогового периода, подлежит, уплате в срок до 01 апреля   года, следующего за истекшим налоговым периодом.</w:t>
      </w:r>
    </w:p>
    <w:p w:rsidR="008F25FA" w:rsidRDefault="008F25FA" w:rsidP="000C27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3.Налог  и  авансовые  платежи   по  налогу  уплачиваются   налогоплательщиками – организациями   в бюджет по месту нахождения земельных участков, признаваемых объектом налогообложения в соответствии со статьей 3 настоящего Положения.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4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Default="008F25FA" w:rsidP="001D15B9">
      <w:pPr>
        <w:shd w:val="clear" w:color="auto" w:fill="FFFFFF"/>
        <w:spacing w:after="0" w:line="240" w:lineRule="auto"/>
        <w:ind w:left="595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Статья 13. Налоговая декларация</w:t>
      </w:r>
    </w:p>
    <w:p w:rsidR="001D15B9" w:rsidRPr="000C27F4" w:rsidRDefault="001D15B9" w:rsidP="000C27F4">
      <w:pPr>
        <w:shd w:val="clear" w:color="auto" w:fill="FFFFFF"/>
        <w:spacing w:after="0" w:line="240" w:lineRule="auto"/>
        <w:ind w:left="59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  Налогоплательщики – организации, в отношении  земельных  участков, принадлежащих  им 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  нахождения  земельного  участка  налоговую  декларацию  по  налогу.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Формы и порядок заполнения форм налоговых деклараций (расчетов), а также форматы и порядок представления налоговых деклараций (расчетов) в электронном виде утверждаются федеральным органом исполнительной власти, уполномоченным по контролю и надзору в области налогов и сборов, по согласованию с Министерством финансов Российской Федерации.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2. Налоговые декларации по налогу представляются налогоплательщиками не позднее  01 февраля года, следующего за истекшим налоговым периодом. 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Расчет земельного налога: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Администрация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Озерненского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  просит Вас рассмотреть и  утвердить ставки земельного налога  на 2012 год. Для этого делаем сравнительную оценку ставок земельного налога за 2011 – 2012 год.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Размер земельного налога определяем по формуле : З нал = С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кад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X S уч. X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Cзн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где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З нал – размер земельного налога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 С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кад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 - удельный показатель кадастровой стоимости земельного участка по соответствующему виду его функционального использования. (удельный показатель кадастровой стоимости утверждался в 2008 году на 5 лет).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S уч. – площадь земельного участка для налогооблагаемой базы.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Cзн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ставка земельного налога, (ставки земельного налога утверждались Решением Совета депутатов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Озерненского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  № 44 от 09.12.2008 г. (ст.9 «Положения о земельном налоге на территории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Озерненского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городского поселения», на 2009 год, а в дальнейшем не менялись).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Пример: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1.Земельные участки для размещения домов индивидуальной застройки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УПКС – 298,59*0,15% (ставка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зем.налога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2011 г)*1500 (примерная площадь)= 671,83 ( сумма налога за 1500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.), стоимость 1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=0,45.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Предлагаем увеличить ставку земельного налога на 10%, УПКС-298,59*0,17%(предполагаемая ставка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зем.налога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на 2012 г.)*1500=761,40 ( сумма налога за 1500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.), стоимость 1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=0,51.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Земельные участки находящиеся в составе дачных,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садоводнических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огороднических объединений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УПКС – 281,88*0,1% (ставка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зем.налога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2011 г)*600 (примерная площадь)= 169,13 ( сумма налога за 600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.), стоимость 1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=0,28.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Предлагаем увеличить ставку земельного налога на 10%, УПКС-281,88*0,11%(предполагаемая ставка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зем.налога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на 2012 г.)*600(примерная площадь =186,04 ( сумма налога за 600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.), стоимость 1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кв.м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. =0,31.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В соответствии с  Налоговым Кодексом  Российской Федерации устанавливается земельный налог. Правила начисления и уплаты земельного налога закреплены в главе 31 Налогового Кодекса. Решением Совета депутатов можем утвердить свои ставки земельного налога, но эти ставки не должны превышать максимальных значений, установленных Налоговым кодексом.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Налоговые ставки не могут превышать 0,3 % в отношении земельных участков отнесенных к землям сельскохозяйственного назначения или к землям в составе зон сельскохозяйственного использования, в населенных пунктах, используемых для сельскохозяйственного производства; занятых жилищным фондом и объектами инженерной инфраструктуры жилищно-коммунального комплекса( за исключением доли в праве на земельный участок, приходящейся на объект, не относящийся к жилищному фонду и к объектам инженерной инфраструктуры </w:t>
      </w:r>
      <w:proofErr w:type="spellStart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жилищно</w:t>
      </w:r>
      <w:proofErr w:type="spellEnd"/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коммунального комплекса) или приобретенных( предоставленных) для жилищного строительства; предоставленных для личного подсобного хозяйства, садоводства, огородничества или животноводства, а также дачного хозяйства.  Не могут превышать 1,5 % в отношении прочих земельных участков.</w:t>
      </w:r>
    </w:p>
    <w:p w:rsidR="008F25FA" w:rsidRPr="000C27F4" w:rsidRDefault="008F25FA" w:rsidP="000C27F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27F4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8F25FA" w:rsidRPr="000C27F4" w:rsidRDefault="008F25FA" w:rsidP="000C27F4">
      <w:pPr>
        <w:jc w:val="both"/>
        <w:rPr>
          <w:rFonts w:ascii="Times New Roman" w:hAnsi="Times New Roman"/>
          <w:sz w:val="28"/>
          <w:szCs w:val="28"/>
        </w:rPr>
      </w:pPr>
    </w:p>
    <w:sectPr w:rsidR="008F25FA" w:rsidRPr="000C27F4" w:rsidSect="00804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00B6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48DF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5696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B42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241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4F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4CB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E07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96F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AEC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E4"/>
    <w:rsid w:val="000107BD"/>
    <w:rsid w:val="000C27F4"/>
    <w:rsid w:val="001A6DEA"/>
    <w:rsid w:val="001C6C40"/>
    <w:rsid w:val="001D15B9"/>
    <w:rsid w:val="00257B65"/>
    <w:rsid w:val="002C7F27"/>
    <w:rsid w:val="002D0776"/>
    <w:rsid w:val="003905E4"/>
    <w:rsid w:val="004767CD"/>
    <w:rsid w:val="005730A0"/>
    <w:rsid w:val="005D702C"/>
    <w:rsid w:val="007F1CC1"/>
    <w:rsid w:val="00804E5E"/>
    <w:rsid w:val="008C72B4"/>
    <w:rsid w:val="008F25FA"/>
    <w:rsid w:val="009B790E"/>
    <w:rsid w:val="00BE2621"/>
    <w:rsid w:val="00DC16FC"/>
    <w:rsid w:val="00DF14EB"/>
    <w:rsid w:val="00E369B6"/>
    <w:rsid w:val="00EB2550"/>
    <w:rsid w:val="00EC1C51"/>
    <w:rsid w:val="00FC0039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9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39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5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3905E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90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905E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90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3905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905E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3905E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905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905E4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39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9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6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User</cp:lastModifiedBy>
  <cp:revision>11</cp:revision>
  <cp:lastPrinted>2018-03-28T06:33:00Z</cp:lastPrinted>
  <dcterms:created xsi:type="dcterms:W3CDTF">2017-07-13T06:56:00Z</dcterms:created>
  <dcterms:modified xsi:type="dcterms:W3CDTF">2018-03-28T06:33:00Z</dcterms:modified>
</cp:coreProperties>
</file>